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DEA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b/>
          <w:bCs/>
          <w:i w:val="0"/>
          <w:iCs w:val="0"/>
          <w:caps w:val="0"/>
          <w:color w:val="000000"/>
          <w:spacing w:val="0"/>
          <w:sz w:val="28"/>
          <w:szCs w:val="28"/>
        </w:rPr>
      </w:pPr>
      <w:bookmarkStart w:id="0" w:name="_GoBack"/>
      <w:bookmarkEnd w:id="0"/>
      <w:r>
        <w:rPr>
          <w:rFonts w:hint="eastAsia" w:ascii="宋体" w:hAnsi="宋体" w:eastAsia="宋体" w:cs="宋体"/>
          <w:b/>
          <w:bCs/>
          <w:i w:val="0"/>
          <w:iCs w:val="0"/>
          <w:caps w:val="0"/>
          <w:color w:val="000000"/>
          <w:spacing w:val="0"/>
          <w:sz w:val="28"/>
          <w:szCs w:val="28"/>
          <w:shd w:val="clear" w:fill="FFFFFF"/>
          <w:lang w:val="en-US" w:eastAsia="zh-CN"/>
        </w:rPr>
        <w:t>附件</w:t>
      </w:r>
      <w:r>
        <w:rPr>
          <w:rFonts w:hint="eastAsia" w:cs="宋体"/>
          <w:b/>
          <w:bCs/>
          <w:i w:val="0"/>
          <w:iCs w:val="0"/>
          <w:caps w:val="0"/>
          <w:color w:val="000000"/>
          <w:spacing w:val="0"/>
          <w:sz w:val="28"/>
          <w:szCs w:val="28"/>
          <w:shd w:val="clear" w:fill="FFFFFF"/>
          <w:lang w:val="en-US" w:eastAsia="zh-CN"/>
        </w:rPr>
        <w:t>3</w:t>
      </w:r>
      <w:r>
        <w:rPr>
          <w:rFonts w:hint="eastAsia" w:ascii="宋体" w:hAnsi="宋体" w:eastAsia="宋体" w:cs="宋体"/>
          <w:b/>
          <w:bCs/>
          <w:i w:val="0"/>
          <w:iCs w:val="0"/>
          <w:caps w:val="0"/>
          <w:color w:val="000000"/>
          <w:spacing w:val="0"/>
          <w:sz w:val="28"/>
          <w:szCs w:val="28"/>
          <w:shd w:val="clear" w:fill="FFFFFF"/>
          <w:lang w:val="en-US" w:eastAsia="zh-CN"/>
        </w:rPr>
        <w:t xml:space="preserve"> ：2025年</w:t>
      </w:r>
      <w:r>
        <w:rPr>
          <w:rFonts w:hint="eastAsia" w:ascii="宋体" w:hAnsi="宋体" w:eastAsia="宋体" w:cs="宋体"/>
          <w:b/>
          <w:bCs/>
          <w:i w:val="0"/>
          <w:iCs w:val="0"/>
          <w:caps w:val="0"/>
          <w:color w:val="000000"/>
          <w:spacing w:val="0"/>
          <w:sz w:val="28"/>
          <w:szCs w:val="28"/>
          <w:shd w:val="clear" w:fill="FFFFFF"/>
        </w:rPr>
        <w:t>创新项目外语合格条件</w:t>
      </w:r>
    </w:p>
    <w:p w14:paraId="7D75EA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right="0"/>
        <w:jc w:val="both"/>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pPr>
    </w:p>
    <w:p w14:paraId="304E9C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一、高级研究学者、访问学者及博士后类别申请人，外语水平需达到以下条件之一：</w:t>
      </w:r>
    </w:p>
    <w:p w14:paraId="75157E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 参加“全国外语水平考试 (WSK)”并达到合格标准。各语种要求如下：</w:t>
      </w:r>
    </w:p>
    <w:p w14:paraId="11A4FBD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英语（PETS5）：笔试总分55分（含）以上，其中听力部分18分（含）以上，口试总分3分（含）以上；</w:t>
      </w:r>
    </w:p>
    <w:p w14:paraId="7716DEF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德语(NTD)：笔试总分65分（含）以上；</w:t>
      </w:r>
    </w:p>
    <w:p w14:paraId="5F4884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法语(TNF)：笔试总分60分（含）以上；</w:t>
      </w:r>
    </w:p>
    <w:p w14:paraId="681EA8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日语（NNS）/俄语（ТЛРЯ）：笔试总分60分（含）以上，其中口试总分3分（含）以上。</w:t>
      </w:r>
    </w:p>
    <w:p w14:paraId="6E4BC4D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 外语专业本科（含）以上毕业（专业语种应与留学目的国使用的语种一致）。</w:t>
      </w:r>
    </w:p>
    <w:p w14:paraId="64E883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 近十年内曾在同一语种国家或地区连续留学8个月（含）以上，或连续工作12个月（含）以上，或曾以国家公派高级研究学者身份留学3个月（含）以上。</w:t>
      </w:r>
    </w:p>
    <w:p w14:paraId="2A6E8E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 曾在教育部指定出国留学人员培训部参加相应语种培训并获结业证书。各语种要求如下：</w:t>
      </w:r>
    </w:p>
    <w:p w14:paraId="78EBE2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英语：高级班结业证书；</w:t>
      </w:r>
    </w:p>
    <w:p w14:paraId="09F37D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德语、法语、日语、俄语、西班牙语、意大利语：中级班结业证书。</w:t>
      </w:r>
    </w:p>
    <w:p w14:paraId="59DC2E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 参加雅思、托福、德语、法语、西班牙语、意大利语、日语、韩语水平考试，成绩达到以下标准：</w:t>
      </w:r>
    </w:p>
    <w:p w14:paraId="1F2817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雅思（学术类）6.5分、托福网考95分；</w:t>
      </w:r>
    </w:p>
    <w:p w14:paraId="66C9E8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德语、法语、西班牙语、意大利语达到欧洲统一语言参考框架（CECRL）B2级；</w:t>
      </w:r>
    </w:p>
    <w:p w14:paraId="603DF2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日语达到日本语能力测试（JLPT）三级（N3）；</w:t>
      </w:r>
    </w:p>
    <w:p w14:paraId="6301598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韩语达到TOPIK3级。</w:t>
      </w:r>
    </w:p>
    <w:p w14:paraId="47C272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6. 赴其他语种（除英语、德语、法语、日语、俄语、西班牙语、意大利语以外）国家留学者，通过国外拟留学单位组织的对该语种的面试或考试等方式达到其语言要求（应在外方邀请信中注明或单独出具证明）。</w:t>
      </w:r>
    </w:p>
    <w:p w14:paraId="3B9E7B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 </w:t>
      </w:r>
    </w:p>
    <w:p w14:paraId="45986D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fill="FFFFFF"/>
          <w:lang w:val="en-US" w:eastAsia="zh-CN"/>
          <w14:textFill>
            <w14:solidFill>
              <w14:schemeClr w14:val="tx1"/>
            </w14:solidFill>
          </w14:textFill>
        </w:rPr>
        <w:t>二</w:t>
      </w:r>
      <w:r>
        <w:rPr>
          <w:rFonts w:hint="eastAsia" w:ascii="宋体" w:hAnsi="宋体" w:eastAsia="宋体" w:cs="宋体"/>
          <w:b/>
          <w:bCs/>
          <w:i w:val="0"/>
          <w:iCs w:val="0"/>
          <w:caps w:val="0"/>
          <w:color w:val="000000" w:themeColor="text1"/>
          <w:spacing w:val="0"/>
          <w:sz w:val="24"/>
          <w:szCs w:val="24"/>
          <w:shd w:val="clear" w:fill="FFFFFF"/>
          <w14:textFill>
            <w14:solidFill>
              <w14:schemeClr w14:val="tx1"/>
            </w14:solidFill>
          </w14:textFill>
        </w:rPr>
        <w:t>、关于创新项目外语合格条件的说明</w:t>
      </w:r>
    </w:p>
    <w:p w14:paraId="33D538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1. 上述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14:paraId="29E6297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2. 全国外语水平考试（WSK）的证明材料为全国外语水平考试(WSK)成绩通知单。</w:t>
      </w:r>
    </w:p>
    <w:p w14:paraId="0F4EC4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3. 外语专业本科（含）以上毕业的证明材料为学历或学位证书。</w:t>
      </w:r>
    </w:p>
    <w:p w14:paraId="4FCCFF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4. 曾在同一语种国家或地区留学或工作的证明材料可以提供以下所列任一：</w:t>
      </w:r>
    </w:p>
    <w:p w14:paraId="2E3FD9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（1）往年开具的《留学回国人员证明》；</w:t>
      </w:r>
    </w:p>
    <w:p w14:paraId="513E83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（2）可认定留学期限、留学单位和学历的相关佐证材料：</w:t>
      </w:r>
    </w:p>
    <w:p w14:paraId="31D8EA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①曾在国外取得学历学位人员应提供：国家移民管理局官网打印的本人出入境记录、国外院校颁发的学位证书或毕业证书/教育部留学服务中心开具的国外学历学位认证书。</w:t>
      </w:r>
    </w:p>
    <w:p w14:paraId="1556EF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②曾在国外工作或研修人员应提供：国家移民管理局官网打印的本人出入境记录、曾留学单位及国内派出单位人事部门分别出具的在外学习或工作的证明。</w:t>
      </w:r>
    </w:p>
    <w:p w14:paraId="7976CA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00"/>
        <w:jc w:val="lef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对曾留学国与拟留学国使用语言不一致的，须另行提供曾留学单位出具的工作语言为相应语种的证明。</w:t>
      </w:r>
    </w:p>
    <w:p w14:paraId="3C1E85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5. 德语、法语、西班牙语、意大利语达到欧洲统一语言参考框架（CECRL）B2级包括参加相应语种考试并取得等同于CECRL B2级的证书或成绩，如德语TestDaF12分以上，法语TEF541分以上、TCF400分以上、DELFB2，西班牙语TELEB2，意大利语CELI3、CILSDueB2、PLIDA B2等。</w:t>
      </w:r>
    </w:p>
    <w:p w14:paraId="27ACA2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both"/>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6. 赴非英语国家外语合格条件的说明</w:t>
      </w:r>
    </w:p>
    <w:p w14:paraId="313045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外方邀请信须明确工作语言。对外方邀请信中明确表述可使用英语作为工作语言的留学人员，英语达到国家公派合格标准也可以申请并派出，派出前可按自愿原则到有关教育部出国留学人员培训部参加对象国语言初级培训，申报时提交英语水平证明材料即可；对外方邀请信中明确表述使用英语以外语种作为工作语言的留学人员（含邀请信中未明确工作语言者），应达到上述外语合格条件规定的相应语种合格要求，并提交相应外语水平证明材料。</w:t>
      </w:r>
    </w:p>
    <w:p w14:paraId="20A7B2A5">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参加教育部指定出国留学人员培训部外语培训者，由申请人自行联系有关培训部参加培训。各培训部培训语种、联系电话等信息请查阅《</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begin"/>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instrText xml:space="preserve"> HYPERLINK "https://www.csc.edu.cn/article/1939" </w:instrTex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separate"/>
      </w:r>
      <w:r>
        <w:rPr>
          <w:rStyle w:val="6"/>
          <w:rFonts w:hint="eastAsia" w:ascii="宋体" w:hAnsi="宋体" w:eastAsia="宋体" w:cs="宋体"/>
          <w:i w:val="0"/>
          <w:iCs w:val="0"/>
          <w:caps w:val="0"/>
          <w:color w:val="000000" w:themeColor="text1"/>
          <w:spacing w:val="0"/>
          <w:sz w:val="24"/>
          <w:szCs w:val="24"/>
          <w:u w:val="single"/>
          <w:shd w:val="clear" w:fill="FFFFFF"/>
          <w14:textFill>
            <w14:solidFill>
              <w14:schemeClr w14:val="tx1"/>
            </w14:solidFill>
          </w14:textFill>
        </w:rPr>
        <w:t>教育部指定出国留学人员培训部培训语种及联系电话</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fldChar w:fldCharType="end"/>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》。培训前，申请人需参加有关培训部组织的水平测试，并根据测试结果安排相应级别的培训。参加英语高级班培训的人员，须参加全国统一结业考试。</w:t>
      </w:r>
    </w:p>
    <w:p w14:paraId="7EEBDD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80"/>
        <w:jc w:val="left"/>
        <w:rPr>
          <w:rFonts w:hint="default" w:ascii="宋体" w:hAnsi="宋体" w:eastAsia="宋体" w:cs="宋体"/>
          <w:i w:val="0"/>
          <w:iCs w:val="0"/>
          <w:caps w:val="0"/>
          <w:color w:val="000000"/>
          <w:spacing w:val="0"/>
          <w:kern w:val="0"/>
          <w:sz w:val="22"/>
          <w:szCs w:val="22"/>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具体要求详见国家留学网通知，网址：</w:t>
      </w:r>
      <w:r>
        <w:rPr>
          <w:rFonts w:hint="eastAsia" w:ascii="宋体" w:hAnsi="宋体" w:eastAsia="宋体" w:cs="宋体"/>
          <w:i w:val="0"/>
          <w:iCs w:val="0"/>
          <w:caps w:val="0"/>
          <w:color w:val="000000"/>
          <w:spacing w:val="0"/>
          <w:kern w:val="0"/>
          <w:sz w:val="22"/>
          <w:szCs w:val="22"/>
          <w:shd w:val="clear" w:fill="FFFFFF"/>
          <w:lang w:val="en-US" w:eastAsia="zh-CN" w:bidi="ar"/>
        </w:rPr>
        <w:t>https://www.csc.edu.cn/article/3300。</w:t>
      </w:r>
    </w:p>
    <w:p w14:paraId="220E8E5E"/>
    <w:p w14:paraId="27C8B8FB">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480" w:leftChars="0" w:right="0" w:rightChars="0"/>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p>
    <w:p w14:paraId="63E2C6B0">
      <w:pPr>
        <w:rPr>
          <w:rFonts w:hint="eastAsia" w:ascii="宋体" w:hAnsi="宋体" w:eastAsia="宋体" w:cs="宋体"/>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A86AC"/>
    <w:multiLevelType w:val="singleLevel"/>
    <w:tmpl w:val="EAFA86AC"/>
    <w:lvl w:ilvl="0" w:tentative="0">
      <w:start w:val="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BC669"/>
    <w:rsid w:val="2E1F2D2E"/>
    <w:rsid w:val="345B48A0"/>
    <w:rsid w:val="3CF70DA6"/>
    <w:rsid w:val="7FFBC66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